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DE" w:rsidRDefault="008979DE">
      <w:pPr>
        <w:rPr>
          <w:sz w:val="18"/>
          <w:szCs w:val="18"/>
        </w:rPr>
      </w:pPr>
      <w:bookmarkStart w:id="0" w:name="_GoBack"/>
      <w:bookmarkEnd w:id="0"/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>Programa de Capacitaci</w:t>
      </w:r>
      <w:r>
        <w:rPr>
          <w:rFonts w:hAnsi="Arial"/>
          <w:sz w:val="28"/>
          <w:szCs w:val="28"/>
          <w:lang w:val="es-ES_tradnl"/>
        </w:rPr>
        <w:t>ó</w:t>
      </w:r>
      <w:r>
        <w:rPr>
          <w:rFonts w:ascii="Arial"/>
          <w:sz w:val="28"/>
          <w:szCs w:val="28"/>
          <w:lang w:val="es-ES_tradnl"/>
        </w:rPr>
        <w:t xml:space="preserve">n </w:t>
      </w:r>
      <w:r w:rsidR="008A10ED">
        <w:rPr>
          <w:rFonts w:ascii="Arial"/>
          <w:sz w:val="28"/>
          <w:szCs w:val="28"/>
          <w:lang w:val="es-ES_tradnl"/>
        </w:rPr>
        <w:t xml:space="preserve">sobre </w:t>
      </w:r>
      <w:r w:rsidR="00663403">
        <w:rPr>
          <w:rFonts w:ascii="Arial"/>
          <w:sz w:val="28"/>
          <w:szCs w:val="28"/>
          <w:lang w:val="es-ES_tradnl"/>
        </w:rPr>
        <w:t>Aproximaci</w:t>
      </w:r>
      <w:r w:rsidR="00663403">
        <w:rPr>
          <w:rFonts w:ascii="Arial"/>
          <w:sz w:val="28"/>
          <w:szCs w:val="28"/>
          <w:lang w:val="es-ES_tradnl"/>
        </w:rPr>
        <w:t>ó</w:t>
      </w:r>
      <w:r w:rsidR="00663403">
        <w:rPr>
          <w:rFonts w:ascii="Arial"/>
          <w:sz w:val="28"/>
          <w:szCs w:val="28"/>
          <w:lang w:val="es-ES_tradnl"/>
        </w:rPr>
        <w:t>n al Juicio por Jurados</w:t>
      </w: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 xml:space="preserve">Unidos por la justicia </w:t>
      </w:r>
    </w:p>
    <w:p w:rsidR="008979DE" w:rsidRDefault="00FD3B86">
      <w:pPr>
        <w:pStyle w:val="Puesto"/>
        <w:rPr>
          <w:rFonts w:ascii="Arial" w:eastAsia="Arial" w:hAnsi="Arial" w:cs="Arial"/>
          <w:sz w:val="28"/>
          <w:szCs w:val="28"/>
          <w:lang w:val="es-ES_tradnl"/>
        </w:rPr>
      </w:pPr>
      <w:r>
        <w:rPr>
          <w:rFonts w:ascii="Arial"/>
          <w:sz w:val="28"/>
          <w:szCs w:val="28"/>
          <w:lang w:val="es-ES_tradnl"/>
        </w:rPr>
        <w:t>A</w:t>
      </w:r>
      <w:r>
        <w:rPr>
          <w:rFonts w:hAnsi="Arial"/>
          <w:sz w:val="28"/>
          <w:szCs w:val="28"/>
          <w:lang w:val="es-ES_tradnl"/>
        </w:rPr>
        <w:t>ñ</w:t>
      </w:r>
      <w:r>
        <w:rPr>
          <w:rFonts w:ascii="Arial"/>
          <w:sz w:val="28"/>
          <w:szCs w:val="28"/>
          <w:lang w:val="es-ES_tradnl"/>
        </w:rPr>
        <w:t>o 201</w:t>
      </w:r>
      <w:r w:rsidR="00974FE8">
        <w:rPr>
          <w:rFonts w:ascii="Arial"/>
          <w:sz w:val="28"/>
          <w:szCs w:val="28"/>
          <w:lang w:val="es-ES_tradnl"/>
        </w:rPr>
        <w:t>9</w:t>
      </w:r>
    </w:p>
    <w:p w:rsidR="008979DE" w:rsidRDefault="008979DE">
      <w:pPr>
        <w:jc w:val="right"/>
        <w:rPr>
          <w:i/>
          <w:iCs/>
          <w:sz w:val="28"/>
          <w:szCs w:val="28"/>
        </w:rPr>
      </w:pPr>
    </w:p>
    <w:p w:rsidR="00124197" w:rsidRDefault="00124197" w:rsidP="00124197">
      <w:pPr>
        <w:jc w:val="center"/>
        <w:rPr>
          <w:lang w:val="es-AR"/>
        </w:rPr>
      </w:pPr>
    </w:p>
    <w:p w:rsidR="00663403" w:rsidRDefault="00663403" w:rsidP="00124197">
      <w:pPr>
        <w:jc w:val="center"/>
        <w:rPr>
          <w:lang w:val="es-AR"/>
        </w:rPr>
      </w:pPr>
    </w:p>
    <w:p w:rsidR="00124197" w:rsidRDefault="00124197" w:rsidP="00124197">
      <w:pPr>
        <w:jc w:val="center"/>
        <w:rPr>
          <w:lang w:val="es-AR"/>
        </w:rPr>
      </w:pPr>
    </w:p>
    <w:p w:rsidR="00124197" w:rsidRPr="00ED6B89" w:rsidRDefault="00124197" w:rsidP="00124197">
      <w:pPr>
        <w:jc w:val="center"/>
        <w:rPr>
          <w:lang w:val="es-AR"/>
        </w:rPr>
      </w:pPr>
      <w:r>
        <w:rPr>
          <w:lang w:val="es-AR"/>
        </w:rPr>
        <w:t>Auspicio Centro de Estudios de Justicia de las Américas - CEJA</w:t>
      </w:r>
    </w:p>
    <w:p w:rsidR="00124197" w:rsidRPr="00ED6B89" w:rsidRDefault="00124197" w:rsidP="00124197">
      <w:pPr>
        <w:jc w:val="center"/>
        <w:rPr>
          <w:lang w:val="es-AR"/>
        </w:rPr>
      </w:pPr>
      <w:r>
        <w:rPr>
          <w:noProof/>
          <w:sz w:val="48"/>
          <w:szCs w:val="48"/>
          <w:lang w:val="es-AR" w:eastAsia="es-AR"/>
        </w:rPr>
        <w:drawing>
          <wp:inline distT="0" distB="0" distL="0" distR="0">
            <wp:extent cx="2657475" cy="1457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97" w:rsidRPr="00A37F27" w:rsidRDefault="00124197" w:rsidP="00124197">
      <w:pPr>
        <w:jc w:val="center"/>
        <w:rPr>
          <w:sz w:val="48"/>
          <w:szCs w:val="48"/>
          <w:lang w:val="es-AR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8979DE">
      <w:pPr>
        <w:jc w:val="center"/>
        <w:rPr>
          <w:rFonts w:ascii="Arial Bold" w:eastAsia="Arial Bold" w:hAnsi="Arial Bold" w:cs="Arial Bold"/>
          <w:sz w:val="18"/>
          <w:szCs w:val="18"/>
          <w:u w:val="single"/>
        </w:rPr>
      </w:pPr>
    </w:p>
    <w:p w:rsidR="008979DE" w:rsidRDefault="00FD3B86">
      <w:pPr>
        <w:pStyle w:val="Ttulo1"/>
      </w:pPr>
      <w:r>
        <w:rPr>
          <w:sz w:val="18"/>
          <w:szCs w:val="18"/>
        </w:rPr>
        <w:br w:type="page"/>
      </w:r>
    </w:p>
    <w:p w:rsidR="002E7216" w:rsidRPr="00663403" w:rsidRDefault="002E7216" w:rsidP="002E7216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AR"/>
        </w:rPr>
      </w:pPr>
      <w:r w:rsidRPr="00663403">
        <w:rPr>
          <w:rFonts w:ascii="Arial" w:hAnsi="Arial" w:cs="Arial"/>
          <w:b/>
          <w:color w:val="auto"/>
          <w:sz w:val="24"/>
          <w:szCs w:val="24"/>
          <w:lang w:val="es-AR"/>
        </w:rPr>
        <w:lastRenderedPageBreak/>
        <w:t xml:space="preserve">Programa de aproximación al juicio por jurados y litigación </w:t>
      </w:r>
      <w:proofErr w:type="spellStart"/>
      <w:r w:rsidRPr="00663403">
        <w:rPr>
          <w:rFonts w:ascii="Arial" w:hAnsi="Arial" w:cs="Arial"/>
          <w:b/>
          <w:color w:val="auto"/>
          <w:sz w:val="24"/>
          <w:szCs w:val="24"/>
          <w:lang w:val="es-AR"/>
        </w:rPr>
        <w:t>adversarial</w:t>
      </w:r>
      <w:proofErr w:type="spellEnd"/>
    </w:p>
    <w:p w:rsidR="002E7216" w:rsidRDefault="002E7216" w:rsidP="002E7216">
      <w:pPr>
        <w:jc w:val="center"/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</w:pPr>
    </w:p>
    <w:p w:rsidR="008A10ED" w:rsidRPr="00663403" w:rsidRDefault="00FD3B86" w:rsidP="00663403">
      <w:pPr>
        <w:rPr>
          <w:sz w:val="24"/>
          <w:szCs w:val="24"/>
        </w:rPr>
      </w:pPr>
      <w:r w:rsidRPr="00663403"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  <w:t>Dirección</w:t>
      </w:r>
      <w:r w:rsidR="002E7216"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  <w:t xml:space="preserve"> Académica</w:t>
      </w:r>
      <w:r w:rsidRPr="00663403"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  <w:t>:</w:t>
      </w:r>
      <w:r w:rsidR="008A10ED" w:rsidRPr="00663403">
        <w:rPr>
          <w:rFonts w:eastAsia="Arial Unicode MS"/>
          <w:sz w:val="24"/>
          <w:szCs w:val="24"/>
        </w:rPr>
        <w:t xml:space="preserve"> </w:t>
      </w:r>
      <w:r w:rsidR="00FD3DCE">
        <w:rPr>
          <w:rFonts w:eastAsia="Arial Unicode MS"/>
          <w:sz w:val="24"/>
          <w:szCs w:val="24"/>
        </w:rPr>
        <w:t xml:space="preserve">Francisco Pont </w:t>
      </w:r>
      <w:proofErr w:type="spellStart"/>
      <w:r w:rsidR="00FD3DCE">
        <w:rPr>
          <w:rFonts w:eastAsia="Arial Unicode MS"/>
          <w:sz w:val="24"/>
          <w:szCs w:val="24"/>
        </w:rPr>
        <w:t>V</w:t>
      </w:r>
      <w:r w:rsidR="00D75BB7">
        <w:rPr>
          <w:rFonts w:eastAsia="Arial Unicode MS"/>
          <w:sz w:val="24"/>
          <w:szCs w:val="24"/>
        </w:rPr>
        <w:t>ergés</w:t>
      </w:r>
      <w:proofErr w:type="spellEnd"/>
    </w:p>
    <w:p w:rsidR="008979DE" w:rsidRPr="00663403" w:rsidRDefault="00FD3B86" w:rsidP="00663403">
      <w:pPr>
        <w:rPr>
          <w:sz w:val="24"/>
          <w:szCs w:val="24"/>
        </w:rPr>
      </w:pPr>
      <w:r w:rsidRPr="00663403"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  <w:t>Fecha:</w:t>
      </w:r>
      <w:r w:rsidR="00974FE8" w:rsidRPr="00663403">
        <w:rPr>
          <w:rFonts w:eastAsia="Arial Unicode MS"/>
          <w:sz w:val="24"/>
          <w:szCs w:val="24"/>
        </w:rPr>
        <w:t xml:space="preserve"> </w:t>
      </w:r>
      <w:r w:rsidR="006958E6">
        <w:rPr>
          <w:rFonts w:eastAsia="Arial Unicode MS"/>
          <w:sz w:val="24"/>
          <w:szCs w:val="24"/>
        </w:rPr>
        <w:t>4 al 6 de septiembre.</w:t>
      </w:r>
    </w:p>
    <w:p w:rsidR="008979DE" w:rsidRDefault="00124197" w:rsidP="00663403">
      <w:pPr>
        <w:rPr>
          <w:rFonts w:eastAsia="Arial Unicode MS"/>
          <w:sz w:val="24"/>
          <w:szCs w:val="24"/>
        </w:rPr>
      </w:pPr>
      <w:r w:rsidRPr="00663403">
        <w:rPr>
          <w:rFonts w:eastAsia="Times New Roman"/>
          <w:b/>
          <w:color w:val="auto"/>
          <w:sz w:val="24"/>
          <w:szCs w:val="24"/>
          <w:u w:val="single"/>
          <w:bdr w:val="none" w:sz="0" w:space="0" w:color="auto"/>
          <w:lang w:val="es-AR" w:bidi="en-US"/>
        </w:rPr>
        <w:t>Duración:</w:t>
      </w:r>
      <w:r w:rsidRPr="00663403">
        <w:rPr>
          <w:rFonts w:eastAsia="Arial Unicode MS"/>
          <w:sz w:val="24"/>
          <w:szCs w:val="24"/>
        </w:rPr>
        <w:t xml:space="preserve"> </w:t>
      </w:r>
      <w:r w:rsidR="00D75BB7">
        <w:rPr>
          <w:rFonts w:eastAsia="Arial Unicode MS"/>
          <w:sz w:val="24"/>
          <w:szCs w:val="24"/>
        </w:rPr>
        <w:t>20</w:t>
      </w:r>
      <w:r w:rsidR="00763BAC">
        <w:rPr>
          <w:rFonts w:eastAsia="Arial Unicode MS"/>
          <w:sz w:val="24"/>
          <w:szCs w:val="24"/>
        </w:rPr>
        <w:t xml:space="preserve"> </w:t>
      </w:r>
      <w:r w:rsidR="002E7216">
        <w:rPr>
          <w:rFonts w:eastAsia="Arial Unicode MS"/>
          <w:sz w:val="24"/>
          <w:szCs w:val="24"/>
        </w:rPr>
        <w:t>horas</w:t>
      </w:r>
    </w:p>
    <w:p w:rsidR="00663403" w:rsidRDefault="002E7216" w:rsidP="002E7216">
      <w:pPr>
        <w:rPr>
          <w:rFonts w:eastAsia="Arial Unicode MS"/>
          <w:b/>
          <w:sz w:val="24"/>
          <w:szCs w:val="24"/>
          <w:u w:val="single"/>
        </w:rPr>
      </w:pPr>
      <w:r w:rsidRPr="002E7216">
        <w:rPr>
          <w:rFonts w:eastAsia="Arial Unicode MS"/>
          <w:b/>
          <w:sz w:val="24"/>
          <w:szCs w:val="24"/>
          <w:u w:val="single"/>
        </w:rPr>
        <w:t>Costo</w:t>
      </w:r>
      <w:r>
        <w:rPr>
          <w:rFonts w:eastAsia="Arial Unicode MS"/>
          <w:b/>
          <w:sz w:val="24"/>
          <w:szCs w:val="24"/>
          <w:u w:val="single"/>
        </w:rPr>
        <w:t xml:space="preserve">: </w:t>
      </w:r>
      <w:r w:rsidRPr="002E7216">
        <w:rPr>
          <w:rFonts w:eastAsia="Arial Unicode MS"/>
          <w:sz w:val="24"/>
          <w:szCs w:val="24"/>
        </w:rPr>
        <w:t>$15.500 Pesos</w:t>
      </w:r>
    </w:p>
    <w:p w:rsidR="002E7216" w:rsidRPr="002E7216" w:rsidRDefault="002E7216" w:rsidP="002E7216">
      <w:pPr>
        <w:rPr>
          <w:rFonts w:eastAsia="Arial Unicode MS"/>
          <w:b/>
          <w:sz w:val="24"/>
          <w:szCs w:val="24"/>
          <w:u w:val="single"/>
        </w:rPr>
      </w:pPr>
    </w:p>
    <w:p w:rsidR="00663403" w:rsidRPr="00663403" w:rsidRDefault="00663403" w:rsidP="00663403">
      <w:pPr>
        <w:spacing w:after="0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b/>
          <w:sz w:val="24"/>
          <w:szCs w:val="24"/>
          <w:lang w:val="es-AR"/>
        </w:rPr>
        <w:t>Objetivo:</w:t>
      </w: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2E7216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Dotar al cursante de los conocimientos esenciales sobre el juicio por jurados, vinculándolo con la litigación </w:t>
      </w:r>
      <w:proofErr w:type="spellStart"/>
      <w:r w:rsidRPr="00663403">
        <w:rPr>
          <w:sz w:val="24"/>
          <w:szCs w:val="24"/>
          <w:lang w:val="es-AR"/>
        </w:rPr>
        <w:t>adversarial</w:t>
      </w:r>
      <w:proofErr w:type="spellEnd"/>
      <w:r w:rsidRPr="00663403">
        <w:rPr>
          <w:sz w:val="24"/>
          <w:szCs w:val="24"/>
          <w:lang w:val="es-AR"/>
        </w:rPr>
        <w:t xml:space="preserve"> que es donde se puede aprehender cabalmente su dinámica, así como el significado de sus institutos característicos.  </w:t>
      </w:r>
    </w:p>
    <w:p w:rsidR="00663403" w:rsidRPr="00663403" w:rsidRDefault="00495402" w:rsidP="00663403">
      <w:pPr>
        <w:rPr>
          <w:sz w:val="24"/>
          <w:szCs w:val="24"/>
          <w:lang w:val="es-AR"/>
        </w:rPr>
      </w:pPr>
      <w:r w:rsidRPr="00495402">
        <w:rPr>
          <w:sz w:val="24"/>
          <w:szCs w:val="24"/>
          <w:lang w:val="es-AR"/>
        </w:rPr>
        <w:t>El curso presencial</w:t>
      </w:r>
      <w:r>
        <w:rPr>
          <w:sz w:val="24"/>
          <w:szCs w:val="24"/>
          <w:lang w:val="es-AR"/>
        </w:rPr>
        <w:t xml:space="preserve"> </w:t>
      </w:r>
      <w:r w:rsidR="002E7216">
        <w:rPr>
          <w:sz w:val="24"/>
          <w:szCs w:val="24"/>
          <w:lang w:val="es-AR"/>
        </w:rPr>
        <w:t>y demanda</w:t>
      </w:r>
      <w:r w:rsidR="00663403" w:rsidRPr="00663403">
        <w:rPr>
          <w:sz w:val="24"/>
          <w:szCs w:val="24"/>
          <w:lang w:val="es-AR"/>
        </w:rPr>
        <w:t xml:space="preserve"> tres días de curso y actividades. 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En esta etapa se revisarán los contenidos tratados en la plataforma virtual. Se aplicarán al estudio de casos y se ensayarán simulaciones de distintas situaciones para ser resueltas por las partes desde la estrategia y por el juez en base al derecho y los principios que rigen este proceso.  </w:t>
      </w:r>
    </w:p>
    <w:p w:rsidR="00495402" w:rsidRDefault="00663403" w:rsidP="00495402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495402" w:rsidP="00495402">
      <w:pPr>
        <w:spacing w:after="0"/>
        <w:rPr>
          <w:sz w:val="24"/>
          <w:szCs w:val="24"/>
          <w:lang w:val="es-AR"/>
        </w:rPr>
      </w:pPr>
      <w:r>
        <w:rPr>
          <w:rFonts w:eastAsia="Times New Roman"/>
          <w:b/>
          <w:sz w:val="24"/>
          <w:szCs w:val="24"/>
          <w:lang w:val="es-AR"/>
        </w:rPr>
        <w:t xml:space="preserve"> L</w:t>
      </w:r>
      <w:r w:rsidR="00663403" w:rsidRPr="00663403">
        <w:rPr>
          <w:rFonts w:eastAsia="Times New Roman"/>
          <w:b/>
          <w:sz w:val="24"/>
          <w:szCs w:val="24"/>
          <w:lang w:val="es-AR"/>
        </w:rPr>
        <w:t>os temas a abordar son:</w:t>
      </w:r>
      <w:r w:rsidR="00663403"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Principios que rigen el juicio por jurados.  </w:t>
      </w:r>
    </w:p>
    <w:p w:rsidR="00663403" w:rsidRPr="00663403" w:rsidRDefault="00663403" w:rsidP="00663403">
      <w:pPr>
        <w:ind w:left="79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La participación popular y su impacto en la estructura del proceso penal.  </w:t>
      </w:r>
    </w:p>
    <w:p w:rsidR="00663403" w:rsidRPr="00663403" w:rsidRDefault="00663403" w:rsidP="00663403">
      <w:pPr>
        <w:pStyle w:val="Prrafodelista"/>
        <w:numPr>
          <w:ilvl w:val="0"/>
          <w:numId w:val="22"/>
        </w:num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>La imparcialidad</w:t>
      </w:r>
    </w:p>
    <w:p w:rsidR="00663403" w:rsidRPr="00663403" w:rsidRDefault="00663403" w:rsidP="00663403">
      <w:pPr>
        <w:pStyle w:val="Prrafodelista"/>
        <w:numPr>
          <w:ilvl w:val="0"/>
          <w:numId w:val="22"/>
        </w:num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>La duda razonable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La nueva función del juez. </w:t>
      </w:r>
    </w:p>
    <w:p w:rsidR="00663403" w:rsidRPr="00663403" w:rsidRDefault="00663403" w:rsidP="00663403">
      <w:pPr>
        <w:ind w:left="79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Hechos y derecho. </w:t>
      </w:r>
    </w:p>
    <w:p w:rsidR="00663403" w:rsidRPr="00663403" w:rsidRDefault="00663403" w:rsidP="00663403">
      <w:pPr>
        <w:ind w:left="79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Reglas de evidencia. 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</w:rPr>
      </w:pPr>
      <w:r w:rsidRPr="00663403">
        <w:rPr>
          <w:sz w:val="24"/>
          <w:szCs w:val="24"/>
        </w:rPr>
        <w:t xml:space="preserve">Teoría del caso. 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Los pasos del juicio por jurados.  </w:t>
      </w:r>
    </w:p>
    <w:p w:rsidR="00663403" w:rsidRPr="00663403" w:rsidRDefault="00663403" w:rsidP="00663403">
      <w:pPr>
        <w:ind w:left="79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lastRenderedPageBreak/>
        <w:t xml:space="preserve">◦ </w:t>
      </w:r>
      <w:r w:rsidRPr="00663403">
        <w:rPr>
          <w:sz w:val="24"/>
          <w:szCs w:val="24"/>
          <w:lang w:val="es-AR"/>
        </w:rPr>
        <w:t xml:space="preserve">Audiencia de prueba.  </w:t>
      </w:r>
    </w:p>
    <w:p w:rsidR="00663403" w:rsidRPr="00663403" w:rsidRDefault="00663403" w:rsidP="00663403">
      <w:pPr>
        <w:ind w:left="791" w:right="6278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>Selección de Jurados</w:t>
      </w:r>
    </w:p>
    <w:p w:rsidR="00663403" w:rsidRPr="00663403" w:rsidRDefault="00663403" w:rsidP="00663403">
      <w:pPr>
        <w:ind w:left="791" w:right="6278"/>
        <w:rPr>
          <w:sz w:val="24"/>
          <w:szCs w:val="24"/>
        </w:rPr>
      </w:pPr>
      <w:r w:rsidRPr="00663403">
        <w:rPr>
          <w:rFonts w:eastAsia="MS Gothic"/>
          <w:sz w:val="24"/>
          <w:szCs w:val="24"/>
        </w:rPr>
        <w:t xml:space="preserve">◦ </w:t>
      </w:r>
      <w:r w:rsidRPr="00663403">
        <w:rPr>
          <w:sz w:val="24"/>
          <w:szCs w:val="24"/>
        </w:rPr>
        <w:t xml:space="preserve">El debate  </w:t>
      </w:r>
    </w:p>
    <w:p w:rsidR="00663403" w:rsidRPr="00663403" w:rsidRDefault="00663403" w:rsidP="00663403">
      <w:pPr>
        <w:ind w:left="791"/>
        <w:rPr>
          <w:sz w:val="24"/>
          <w:szCs w:val="24"/>
        </w:rPr>
      </w:pPr>
      <w:r w:rsidRPr="00663403">
        <w:rPr>
          <w:rFonts w:eastAsia="MS Gothic"/>
          <w:sz w:val="24"/>
          <w:szCs w:val="24"/>
        </w:rPr>
        <w:t xml:space="preserve">◦ </w:t>
      </w:r>
      <w:r w:rsidRPr="00663403">
        <w:rPr>
          <w:sz w:val="24"/>
          <w:szCs w:val="24"/>
        </w:rPr>
        <w:t xml:space="preserve">Instrucciones.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El dictado de la sentencia. 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La impugnación del veredicto de culpabilidad o de no culpabilidad por inimputabilidad.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0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b/>
          <w:sz w:val="24"/>
          <w:szCs w:val="24"/>
          <w:lang w:val="es-AR"/>
        </w:rPr>
        <w:t>Metodología</w:t>
      </w:r>
      <w:r w:rsidRPr="00663403">
        <w:rPr>
          <w:sz w:val="24"/>
          <w:szCs w:val="24"/>
          <w:lang w:val="es-AR"/>
        </w:rPr>
        <w:t xml:space="preserve"> </w:t>
      </w:r>
    </w:p>
    <w:p w:rsidR="00663403" w:rsidRDefault="00663403" w:rsidP="00663403">
      <w:pPr>
        <w:spacing w:after="2"/>
        <w:ind w:right="129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En los tres días habrá trabajo en talleres y simulaciones en base a situaciones que se presentaron en juicio reales Objetivos:  </w:t>
      </w:r>
    </w:p>
    <w:p w:rsidR="00495402" w:rsidRPr="00663403" w:rsidRDefault="00495402" w:rsidP="00663403">
      <w:pPr>
        <w:spacing w:after="2"/>
        <w:ind w:right="129"/>
        <w:rPr>
          <w:sz w:val="24"/>
          <w:szCs w:val="24"/>
          <w:lang w:val="es-AR"/>
        </w:rPr>
      </w:pP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Familiarizarse con las técnicas expuestas y la mirada estratégica del litigio. 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Identificar las preguntas esenciales que no pueden quedar fuera en función de las teorías del caso respectivas. </w:t>
      </w:r>
    </w:p>
    <w:p w:rsidR="00663403" w:rsidRPr="00663403" w:rsidRDefault="00663403" w:rsidP="0066340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/>
        <w:ind w:left="780" w:hanging="36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Identificar situaciones que merezcan la intervención de la contraparte en el control de la producción de la prueba. 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Cada tema comienza con una explicación teórica que refresca y aclara lo que se vio en el módulo virtual y se continúa con la exposición del caso sobre el que luego se llevan a cabo las simulaciones correspondientes. 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0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b/>
          <w:sz w:val="24"/>
          <w:szCs w:val="24"/>
          <w:lang w:val="es-AR"/>
        </w:rPr>
        <w:t>Primer día.</w:t>
      </w:r>
      <w:r w:rsidRPr="00663403">
        <w:rPr>
          <w:sz w:val="24"/>
          <w:szCs w:val="24"/>
          <w:lang w:val="es-AR"/>
        </w:rPr>
        <w:t xml:space="preserve"> </w:t>
      </w:r>
      <w:r w:rsidRPr="00663403">
        <w:rPr>
          <w:rFonts w:eastAsia="Times New Roman"/>
          <w:i/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1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i/>
          <w:sz w:val="24"/>
          <w:szCs w:val="24"/>
          <w:lang w:val="es-AR"/>
        </w:rPr>
        <w:t>Mañana.</w:t>
      </w:r>
      <w:r w:rsidRPr="00663403">
        <w:rPr>
          <w:sz w:val="24"/>
          <w:szCs w:val="24"/>
          <w:lang w:val="es-AR"/>
        </w:rPr>
        <w:t xml:space="preserve">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La teoría del caso y el litigio estratégico.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Evaluación de casos para llevar a juicio.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lastRenderedPageBreak/>
        <w:t xml:space="preserve">▪ </w:t>
      </w:r>
      <w:r w:rsidRPr="00663403">
        <w:rPr>
          <w:sz w:val="24"/>
          <w:szCs w:val="24"/>
          <w:lang w:val="es-AR"/>
        </w:rPr>
        <w:t xml:space="preserve">Decisiones sobre hechos y prueba: la elección de las circunstancias fácticas que conformarán la teoría del caso en función de la prueba razonablemente disponible.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Audiencia/s preliminar/es.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La necesidad de circunscribir la prueba a los hechos del caso.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Necesidad de trabajar sobre teorías del caso reveladas.  </w:t>
      </w:r>
    </w:p>
    <w:p w:rsidR="00663403" w:rsidRPr="00663403" w:rsidRDefault="00663403" w:rsidP="00663403">
      <w:pPr>
        <w:spacing w:after="2"/>
        <w:ind w:left="1436" w:hanging="37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Admisibilidad de la prueba. Trabajar sobre reglas de evidencia que se sobreentienden en el sistema de juicio por jurados. Las reglas de la relevancia y el prejuicio. Las exclusiones probatorias.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Estipulaciones como emergentes de la estrategia del litigio y la simplificación de la tarea del jurado.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>Talleres de simulaciones y resolución de incidentes particulares.</w:t>
      </w:r>
      <w:r w:rsidRPr="00663403">
        <w:rPr>
          <w:rFonts w:eastAsia="Times New Roman"/>
          <w:i/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1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i/>
          <w:sz w:val="24"/>
          <w:szCs w:val="24"/>
          <w:lang w:val="es-AR"/>
        </w:rPr>
        <w:t xml:space="preserve">Tarde: </w:t>
      </w: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Audiencia de selección de jurados.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La necesidad de discutir la estrategia y el marco de las preguntas en la audiencia. Cuestiones prohibidas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Cuestionarios previos.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Desarrollo de la audiencia. Modelos posibles. El manejo del tiempo. 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Taller de selección con rondas de preguntas a hipotéticos candidatos. Resolución del juez. Fundamentación, reposición y reservas. 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0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b/>
          <w:sz w:val="24"/>
          <w:szCs w:val="24"/>
          <w:lang w:val="es-AR"/>
        </w:rPr>
        <w:t>Segundo día: técnicas de litigación para juicio por jurados.</w:t>
      </w:r>
      <w:r w:rsidRPr="00663403">
        <w:rPr>
          <w:sz w:val="24"/>
          <w:szCs w:val="24"/>
          <w:lang w:val="es-AR"/>
        </w:rPr>
        <w:t xml:space="preserve">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Alegatos de apertura y limites a lo que se puede decir y no.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Lenguaje para el común de la gente.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Fijar hechos de una manera sencilla y </w:t>
      </w:r>
      <w:proofErr w:type="spellStart"/>
      <w:r w:rsidRPr="00663403">
        <w:rPr>
          <w:sz w:val="24"/>
          <w:szCs w:val="24"/>
          <w:lang w:val="es-AR"/>
        </w:rPr>
        <w:t>abarcativa</w:t>
      </w:r>
      <w:proofErr w:type="spellEnd"/>
      <w:r w:rsidRPr="00663403">
        <w:rPr>
          <w:sz w:val="24"/>
          <w:szCs w:val="24"/>
          <w:lang w:val="es-AR"/>
        </w:rPr>
        <w:t xml:space="preserve"> por probables repercusiones en el proceso de determinación de la pena.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Las reglas de evidencia como marco legal para la producción de la prueba en el debate.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Interrogatorio directo.  </w:t>
      </w:r>
    </w:p>
    <w:p w:rsidR="00663403" w:rsidRPr="00663403" w:rsidRDefault="00663403" w:rsidP="00663403">
      <w:pPr>
        <w:ind w:left="1076" w:right="507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Técnica de la pregunta abierta. </w:t>
      </w:r>
    </w:p>
    <w:p w:rsidR="00663403" w:rsidRPr="00663403" w:rsidRDefault="00663403" w:rsidP="00663403">
      <w:pPr>
        <w:ind w:left="1076" w:right="5071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Testimonios de peritos.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Uso de prueba demostrativa.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Introducción de prueba material y documental.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El uso de las declaraciones previas.  </w:t>
      </w:r>
    </w:p>
    <w:p w:rsidR="00663403" w:rsidRPr="00663403" w:rsidRDefault="00663403" w:rsidP="00663403">
      <w:pPr>
        <w:ind w:left="1081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El contrainterrogatorio como técnica para poner a prueba al testigo y mantener el control de las respuestas.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Las objeciones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Las preguntas prohibidas.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Técnica.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La objeción en los alegatos. 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Al término de cada módulo se realizarán talleres de simulación y al final del día se harán talleres para aplicar las técnicas aprehendidas, todas juntas. 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0"/>
        <w:ind w:left="-5"/>
        <w:rPr>
          <w:sz w:val="24"/>
          <w:szCs w:val="24"/>
          <w:lang w:val="es-AR"/>
        </w:rPr>
      </w:pPr>
      <w:r w:rsidRPr="00663403">
        <w:rPr>
          <w:rFonts w:eastAsia="Times New Roman"/>
          <w:b/>
          <w:sz w:val="24"/>
          <w:szCs w:val="24"/>
          <w:lang w:val="es-AR"/>
        </w:rPr>
        <w:t>Tercer día.</w:t>
      </w:r>
      <w:r w:rsidRPr="00663403">
        <w:rPr>
          <w:sz w:val="24"/>
          <w:szCs w:val="24"/>
          <w:lang w:val="es-AR"/>
        </w:rPr>
        <w:t xml:space="preserve"> 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Alegato de cierre.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Importancia de diferenciar su método en función del proceso por jurados.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Límites en punto a los temas a tratar. Los no y los sí. Derecho y prueba.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Detectar temas cruciales y de impacto y plantearlos de forma sencilla y enfática. Captar la atención del jurado. 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Elaboración de instrucciones: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Exigencias para cada momento. Iniciales. Durante el proceso. Finales. El rol del juez como director del debate y quien explica el derecho al jurado.  </w:t>
      </w:r>
    </w:p>
    <w:p w:rsidR="00663403" w:rsidRPr="00663403" w:rsidRDefault="00663403" w:rsidP="00663403">
      <w:pPr>
        <w:ind w:left="1426" w:hanging="36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Necesidad de ir formándolas desde que se traza la estrategia para el juicio. El rol del juez.  </w:t>
      </w:r>
    </w:p>
    <w:p w:rsidR="00663403" w:rsidRPr="00663403" w:rsidRDefault="00663403" w:rsidP="00663403">
      <w:pPr>
        <w:spacing w:after="2"/>
        <w:ind w:left="1436" w:hanging="370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Audiencia de elaboración de instrucciones.  La discusión del derecho aplicable al caso. Su </w:t>
      </w:r>
      <w:proofErr w:type="spellStart"/>
      <w:r w:rsidRPr="00663403">
        <w:rPr>
          <w:sz w:val="24"/>
          <w:szCs w:val="24"/>
          <w:lang w:val="es-AR"/>
        </w:rPr>
        <w:t>trascedencia</w:t>
      </w:r>
      <w:proofErr w:type="spellEnd"/>
      <w:r w:rsidRPr="00663403">
        <w:rPr>
          <w:sz w:val="24"/>
          <w:szCs w:val="24"/>
          <w:lang w:val="es-AR"/>
        </w:rPr>
        <w:t xml:space="preserve"> para la cesura del juicio y el recurso contra el veredicto de culpabilidad.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El veredicto.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Posibilidades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El carácter individual del veredicto.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Jurado Estancado y Secuestro del jurado. </w:t>
      </w:r>
    </w:p>
    <w:p w:rsidR="00663403" w:rsidRPr="00663403" w:rsidRDefault="00663403" w:rsidP="00663403">
      <w:pPr>
        <w:ind w:left="731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◦ </w:t>
      </w:r>
      <w:r w:rsidRPr="00663403">
        <w:rPr>
          <w:sz w:val="24"/>
          <w:szCs w:val="24"/>
          <w:lang w:val="es-AR"/>
        </w:rPr>
        <w:t xml:space="preserve">La audiencia de cesura de juicio.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Discusión sobre la pena. Atenuantes y agravantes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Los contornos fácticos que sostienen las pautas de ponderación de la prueba.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  <w:r w:rsidRPr="00663403">
        <w:rPr>
          <w:rFonts w:eastAsia="MS Gothic"/>
          <w:sz w:val="24"/>
          <w:szCs w:val="24"/>
          <w:lang w:val="es-AR"/>
        </w:rPr>
        <w:t xml:space="preserve">▪ </w:t>
      </w:r>
      <w:r w:rsidRPr="00663403">
        <w:rPr>
          <w:sz w:val="24"/>
          <w:szCs w:val="24"/>
          <w:lang w:val="es-AR"/>
        </w:rPr>
        <w:t xml:space="preserve">La calificación legal. Límites y margen de apreciación residual.  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</w:p>
    <w:p w:rsidR="00663403" w:rsidRPr="00663403" w:rsidRDefault="00663403" w:rsidP="00663403">
      <w:pPr>
        <w:pStyle w:val="Ttulo2"/>
        <w:spacing w:line="360" w:lineRule="auto"/>
        <w:rPr>
          <w:rFonts w:ascii="Arial" w:hAnsi="Arial" w:cs="Arial"/>
          <w:b/>
          <w:color w:val="auto"/>
          <w:lang w:val="es-AR"/>
        </w:rPr>
      </w:pPr>
      <w:r w:rsidRPr="00663403">
        <w:rPr>
          <w:rFonts w:ascii="Arial" w:hAnsi="Arial" w:cs="Arial"/>
          <w:b/>
          <w:color w:val="auto"/>
          <w:lang w:val="es-AR"/>
        </w:rPr>
        <w:t>Lugar, días y horarios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 xml:space="preserve">Las clases se dictan en el Salón de la Junta Federal de Cortes y Superiores Tribunales de Justicia de las Provincias Argentinas y Ciudad Autónoma de Buenos Aires – JUFEJUS -, sito en Leandro N. </w:t>
      </w:r>
      <w:proofErr w:type="spellStart"/>
      <w:r w:rsidRPr="00663403">
        <w:rPr>
          <w:rFonts w:eastAsia="Arial Unicode MS"/>
          <w:sz w:val="24"/>
          <w:szCs w:val="24"/>
          <w:lang w:val="es-AR"/>
        </w:rPr>
        <w:t>Alem</w:t>
      </w:r>
      <w:proofErr w:type="spellEnd"/>
      <w:r w:rsidRPr="00663403">
        <w:rPr>
          <w:rFonts w:eastAsia="Arial Unicode MS"/>
          <w:sz w:val="24"/>
          <w:szCs w:val="24"/>
          <w:lang w:val="es-AR"/>
        </w:rPr>
        <w:t xml:space="preserve"> 1074, 2° piso, Ciudad Autónoma Buenos Aires, durante </w:t>
      </w:r>
      <w:r w:rsidR="00D75BB7">
        <w:rPr>
          <w:rFonts w:eastAsia="Arial Unicode MS"/>
          <w:sz w:val="24"/>
          <w:szCs w:val="24"/>
          <w:lang w:val="es-AR"/>
        </w:rPr>
        <w:t>tres</w:t>
      </w:r>
      <w:r w:rsidRPr="00663403">
        <w:rPr>
          <w:rFonts w:eastAsia="Arial Unicode MS"/>
          <w:sz w:val="24"/>
          <w:szCs w:val="24"/>
          <w:lang w:val="es-AR"/>
        </w:rPr>
        <w:t xml:space="preserve"> encuentros de </w:t>
      </w:r>
      <w:r w:rsidR="00D75BB7">
        <w:rPr>
          <w:rFonts w:eastAsia="Arial Unicode MS"/>
          <w:sz w:val="24"/>
          <w:szCs w:val="24"/>
          <w:lang w:val="es-AR"/>
        </w:rPr>
        <w:t>miércoles a viernes</w:t>
      </w:r>
      <w:r w:rsidRPr="00663403">
        <w:rPr>
          <w:rFonts w:eastAsia="Arial Unicode MS"/>
          <w:sz w:val="24"/>
          <w:szCs w:val="24"/>
          <w:lang w:val="es-AR"/>
        </w:rPr>
        <w:t xml:space="preserve"> </w:t>
      </w:r>
      <w:r w:rsidR="00D75BB7">
        <w:rPr>
          <w:rFonts w:eastAsia="Arial Unicode MS"/>
          <w:sz w:val="24"/>
          <w:szCs w:val="24"/>
          <w:lang w:val="es-AR"/>
        </w:rPr>
        <w:t>(</w:t>
      </w:r>
      <w:r w:rsidR="006958E6">
        <w:rPr>
          <w:rFonts w:eastAsia="Arial Unicode MS"/>
          <w:sz w:val="24"/>
          <w:szCs w:val="24"/>
          <w:lang w:val="es-AR"/>
        </w:rPr>
        <w:t>4 al 6 de septiembre</w:t>
      </w:r>
      <w:r w:rsidR="00D75BB7">
        <w:rPr>
          <w:rFonts w:eastAsia="Arial Unicode MS"/>
          <w:sz w:val="24"/>
          <w:szCs w:val="24"/>
          <w:lang w:val="es-AR"/>
        </w:rPr>
        <w:t xml:space="preserve">), </w:t>
      </w:r>
      <w:r w:rsidRPr="00663403">
        <w:rPr>
          <w:rFonts w:eastAsia="Arial Unicode MS"/>
          <w:sz w:val="24"/>
          <w:szCs w:val="24"/>
          <w:lang w:val="es-AR"/>
        </w:rPr>
        <w:t xml:space="preserve">en el horario comprendido entre las </w:t>
      </w:r>
      <w:r w:rsidRPr="00D75BB7">
        <w:rPr>
          <w:rFonts w:eastAsia="Arial Unicode MS"/>
          <w:sz w:val="24"/>
          <w:szCs w:val="24"/>
          <w:lang w:val="es-AR"/>
        </w:rPr>
        <w:t>09:00 y las 17:00</w:t>
      </w:r>
      <w:r w:rsidRPr="00663403">
        <w:rPr>
          <w:rFonts w:eastAsia="Arial Unicode MS"/>
          <w:sz w:val="24"/>
          <w:szCs w:val="24"/>
          <w:lang w:val="es-AR"/>
        </w:rPr>
        <w:t xml:space="preserve"> horas.</w:t>
      </w:r>
    </w:p>
    <w:p w:rsidR="00663403" w:rsidRPr="00663403" w:rsidRDefault="00663403" w:rsidP="00663403">
      <w:pPr>
        <w:pStyle w:val="Ttulo2"/>
        <w:spacing w:line="360" w:lineRule="auto"/>
        <w:rPr>
          <w:rFonts w:ascii="Arial" w:hAnsi="Arial" w:cs="Arial"/>
          <w:b/>
          <w:lang w:val="es-AR"/>
        </w:rPr>
      </w:pPr>
    </w:p>
    <w:p w:rsidR="00663403" w:rsidRPr="00663403" w:rsidRDefault="00663403" w:rsidP="00663403">
      <w:pPr>
        <w:pStyle w:val="Ttulo2"/>
        <w:spacing w:line="360" w:lineRule="auto"/>
        <w:rPr>
          <w:rFonts w:ascii="Arial" w:hAnsi="Arial" w:cs="Arial"/>
          <w:b/>
          <w:color w:val="000000" w:themeColor="text1"/>
          <w:lang w:val="es-AR"/>
        </w:rPr>
      </w:pPr>
      <w:r w:rsidRPr="00663403">
        <w:rPr>
          <w:rFonts w:ascii="Arial" w:hAnsi="Arial" w:cs="Arial"/>
          <w:b/>
          <w:color w:val="000000" w:themeColor="text1"/>
          <w:lang w:val="es-AR"/>
        </w:rPr>
        <w:t>Costo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El Programa tiene un costo  de $</w:t>
      </w:r>
      <w:r w:rsidRPr="00D75BB7">
        <w:rPr>
          <w:rFonts w:eastAsia="Arial Unicode MS"/>
          <w:sz w:val="24"/>
          <w:szCs w:val="24"/>
          <w:lang w:val="es-AR"/>
        </w:rPr>
        <w:t>15.500</w:t>
      </w:r>
      <w:r w:rsidRPr="00663403">
        <w:rPr>
          <w:rFonts w:eastAsia="Arial Unicode MS"/>
          <w:sz w:val="24"/>
          <w:szCs w:val="24"/>
          <w:lang w:val="es-AR"/>
        </w:rPr>
        <w:t xml:space="preserve"> pesos argentinos, o su equivalente en dólares estadounidenses.  Tanto los costos de pasajes así como los de alojamiento, están a cargo de cada participante.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 xml:space="preserve">Consultar por becas y medias becas.  Las mismas se otorgan en función del cupo, teniendo en cuenta la totalidad de alumnos que se inscriben en los cursos y las posibilidades de los mismos para efectuar réplicas y actividades que promuevan el fortalecimiento de los sistemas acusatorios en su país o jurisdicción.  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En este sentido solicitamos se adjunte a la consulta los antecedentes curriculares y una breve reseña de los proyectos que el postulante podría impulsar desde su ámbito laboral o académico.</w:t>
      </w:r>
    </w:p>
    <w:p w:rsidR="00663403" w:rsidRPr="00663403" w:rsidRDefault="00663403" w:rsidP="00663403">
      <w:pPr>
        <w:pStyle w:val="Ttulo2"/>
        <w:spacing w:line="360" w:lineRule="auto"/>
        <w:rPr>
          <w:rFonts w:ascii="Arial" w:hAnsi="Arial" w:cs="Arial"/>
          <w:b/>
          <w:color w:val="000000" w:themeColor="text1"/>
          <w:lang w:val="es-AR"/>
        </w:rPr>
      </w:pPr>
      <w:r w:rsidRPr="00663403">
        <w:rPr>
          <w:rFonts w:ascii="Arial" w:hAnsi="Arial" w:cs="Arial"/>
          <w:b/>
          <w:color w:val="000000" w:themeColor="text1"/>
          <w:lang w:val="es-AR"/>
        </w:rPr>
        <w:t>Inscripción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>Los interesados  podrán realizar consultas telefónicas  comunicándose al 1564675914 y deberán inscribirse enviando un mail a inscripcioncursos@unidosjusticia.org con los siguientes datos: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Nombre (s)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Apellido (s)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Sexo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Nacionalidad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País de Residencia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Ciudad de Residencia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Domicilio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Teléfono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Celular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Correo electrónico</w:t>
      </w:r>
    </w:p>
    <w:p w:rsidR="00663403" w:rsidRPr="00663403" w:rsidRDefault="00663403" w:rsidP="00663403">
      <w:pPr>
        <w:rPr>
          <w:sz w:val="24"/>
          <w:szCs w:val="24"/>
          <w:lang w:val="es-AR"/>
        </w:rPr>
      </w:pPr>
      <w:r w:rsidRPr="00663403">
        <w:rPr>
          <w:rFonts w:eastAsia="Arial Unicode MS"/>
          <w:sz w:val="24"/>
          <w:szCs w:val="24"/>
          <w:lang w:val="es-AR"/>
        </w:rPr>
        <w:t>Profesión</w:t>
      </w:r>
    </w:p>
    <w:p w:rsidR="00663403" w:rsidRPr="00663403" w:rsidRDefault="00663403" w:rsidP="00663403">
      <w:pPr>
        <w:rPr>
          <w:sz w:val="24"/>
          <w:szCs w:val="24"/>
        </w:rPr>
      </w:pPr>
      <w:r w:rsidRPr="00663403">
        <w:rPr>
          <w:rFonts w:eastAsia="Arial Unicode MS"/>
          <w:sz w:val="24"/>
          <w:szCs w:val="24"/>
        </w:rPr>
        <w:t>Institución</w:t>
      </w:r>
    </w:p>
    <w:p w:rsidR="00663403" w:rsidRPr="00663403" w:rsidRDefault="00663403" w:rsidP="00663403">
      <w:pPr>
        <w:rPr>
          <w:sz w:val="24"/>
          <w:szCs w:val="24"/>
        </w:rPr>
      </w:pPr>
      <w:r w:rsidRPr="00663403">
        <w:rPr>
          <w:rFonts w:eastAsia="Arial Unicode MS"/>
          <w:sz w:val="24"/>
          <w:szCs w:val="24"/>
        </w:rPr>
        <w:t>Cargo</w:t>
      </w:r>
    </w:p>
    <w:p w:rsidR="00663403" w:rsidRPr="00663403" w:rsidRDefault="00663403" w:rsidP="00663403">
      <w:pPr>
        <w:ind w:left="1076"/>
        <w:rPr>
          <w:sz w:val="24"/>
          <w:szCs w:val="24"/>
          <w:lang w:val="es-AR"/>
        </w:rPr>
      </w:pP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spacing w:after="0"/>
        <w:rPr>
          <w:sz w:val="24"/>
          <w:szCs w:val="24"/>
          <w:lang w:val="es-AR"/>
        </w:rPr>
      </w:pPr>
      <w:r w:rsidRPr="00663403">
        <w:rPr>
          <w:sz w:val="24"/>
          <w:szCs w:val="24"/>
          <w:lang w:val="es-AR"/>
        </w:rPr>
        <w:t xml:space="preserve"> </w:t>
      </w:r>
    </w:p>
    <w:p w:rsidR="00663403" w:rsidRPr="00663403" w:rsidRDefault="00663403" w:rsidP="00663403">
      <w:pPr>
        <w:rPr>
          <w:sz w:val="24"/>
          <w:szCs w:val="24"/>
        </w:rPr>
      </w:pPr>
    </w:p>
    <w:sectPr w:rsidR="00663403" w:rsidRPr="00663403" w:rsidSect="00717A8C">
      <w:headerReference w:type="default" r:id="rId9"/>
      <w:footerReference w:type="default" r:id="rId10"/>
      <w:headerReference w:type="first" r:id="rId11"/>
      <w:pgSz w:w="11900" w:h="16840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3A" w:rsidRDefault="00B5383A">
      <w:pPr>
        <w:spacing w:after="0" w:line="240" w:lineRule="auto"/>
      </w:pPr>
      <w:r>
        <w:separator/>
      </w:r>
    </w:p>
  </w:endnote>
  <w:endnote w:type="continuationSeparator" w:id="0">
    <w:p w:rsidR="00B5383A" w:rsidRDefault="00B5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717A8C">
    <w:pPr>
      <w:pStyle w:val="Piedepgina"/>
      <w:tabs>
        <w:tab w:val="clear" w:pos="8640"/>
        <w:tab w:val="right" w:pos="8478"/>
      </w:tabs>
      <w:jc w:val="right"/>
    </w:pPr>
    <w:r>
      <w:fldChar w:fldCharType="begin"/>
    </w:r>
    <w:r w:rsidR="00FD3B86">
      <w:instrText xml:space="preserve"> PAGE </w:instrText>
    </w:r>
    <w:r>
      <w:fldChar w:fldCharType="separate"/>
    </w:r>
    <w:r w:rsidR="009877D4">
      <w:rPr>
        <w:noProof/>
      </w:rPr>
      <w:t>8</w:t>
    </w:r>
    <w:r>
      <w:fldChar w:fldCharType="end"/>
    </w:r>
  </w:p>
  <w:p w:rsidR="008979DE" w:rsidRDefault="008979DE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</w:p>
  <w:p w:rsidR="008979DE" w:rsidRDefault="008979DE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</w:p>
  <w:p w:rsidR="008979DE" w:rsidRDefault="00FD3B86">
    <w:pPr>
      <w:pStyle w:val="Piedepgina"/>
      <w:tabs>
        <w:tab w:val="right" w:pos="9360"/>
      </w:tabs>
      <w:spacing w:after="0" w:line="240" w:lineRule="auto"/>
      <w:jc w:val="center"/>
      <w:rPr>
        <w:color w:val="333333"/>
        <w:sz w:val="16"/>
        <w:szCs w:val="16"/>
        <w:u w:color="333333"/>
      </w:rPr>
    </w:pPr>
    <w:r>
      <w:rPr>
        <w:color w:val="333333"/>
        <w:sz w:val="16"/>
        <w:szCs w:val="16"/>
        <w:u w:color="333333"/>
      </w:rPr>
      <w:t xml:space="preserve">Unidos por la Justicia Asociación Civil | Paraguay 435, 3ro 38 | Buenos Aires – ARGENTINA | C1057AAC </w:t>
    </w:r>
  </w:p>
  <w:p w:rsidR="008979DE" w:rsidRPr="00F66A7A" w:rsidRDefault="00FD3B86">
    <w:pPr>
      <w:pStyle w:val="Piedepgina"/>
      <w:tabs>
        <w:tab w:val="right" w:pos="9360"/>
      </w:tabs>
      <w:spacing w:after="0" w:line="240" w:lineRule="auto"/>
      <w:jc w:val="center"/>
      <w:rPr>
        <w:lang w:val="en-US"/>
      </w:rPr>
    </w:pPr>
    <w:r>
      <w:rPr>
        <w:color w:val="333333"/>
        <w:sz w:val="16"/>
        <w:szCs w:val="16"/>
        <w:u w:color="333333"/>
        <w:lang w:val="pt-PT"/>
      </w:rPr>
      <w:t xml:space="preserve">Tel. (54-11) 4516-0158 | E-mail: </w:t>
    </w:r>
    <w:hyperlink r:id="rId1" w:history="1">
      <w:r>
        <w:rPr>
          <w:rStyle w:val="Hyperlink0"/>
        </w:rPr>
        <w:t>info@unidosjusticia.org.ar</w:t>
      </w:r>
    </w:hyperlink>
    <w:r>
      <w:rPr>
        <w:color w:val="333333"/>
        <w:sz w:val="16"/>
        <w:szCs w:val="16"/>
        <w:u w:color="333333"/>
        <w:lang w:val="pt-PT"/>
      </w:rPr>
      <w:t xml:space="preserve"> | Web: </w:t>
    </w:r>
    <w:hyperlink r:id="rId2" w:history="1">
      <w:r>
        <w:rPr>
          <w:rStyle w:val="Hyperlink0"/>
        </w:rPr>
        <w:t>www.unidosjusticia.org.ar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3A" w:rsidRDefault="00B5383A">
      <w:pPr>
        <w:spacing w:after="0" w:line="240" w:lineRule="auto"/>
      </w:pPr>
      <w:r>
        <w:separator/>
      </w:r>
    </w:p>
  </w:footnote>
  <w:footnote w:type="continuationSeparator" w:id="0">
    <w:p w:rsidR="00B5383A" w:rsidRDefault="00B5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FD3B86">
    <w:pPr>
      <w:pStyle w:val="Encabezado"/>
      <w:jc w:val="right"/>
    </w:pPr>
    <w:r>
      <w:rPr>
        <w:noProof/>
        <w:lang w:val="es-AR"/>
      </w:rPr>
      <w:drawing>
        <wp:inline distT="0" distB="0" distL="0" distR="0" wp14:anchorId="1BFDF387" wp14:editId="787443AD">
          <wp:extent cx="1412748" cy="48554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ok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48" cy="4855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i/>
        <w:iCs/>
        <w:sz w:val="16"/>
        <w:szCs w:val="16"/>
      </w:rPr>
      <w:t>Programa de Capacitaci</w:t>
    </w:r>
    <w:r>
      <w:rPr>
        <w:rFonts w:hAnsi="Arial"/>
        <w:i/>
        <w:iCs/>
        <w:sz w:val="16"/>
        <w:szCs w:val="16"/>
      </w:rPr>
      <w:t>ó</w:t>
    </w:r>
    <w:r>
      <w:rPr>
        <w:i/>
        <w:iCs/>
        <w:sz w:val="16"/>
        <w:szCs w:val="16"/>
      </w:rPr>
      <w:t xml:space="preserve">n </w:t>
    </w:r>
    <w:r w:rsidR="008A10ED">
      <w:rPr>
        <w:i/>
        <w:iCs/>
        <w:sz w:val="16"/>
        <w:szCs w:val="16"/>
      </w:rPr>
      <w:t xml:space="preserve">sobre </w:t>
    </w:r>
    <w:r w:rsidR="00663403">
      <w:rPr>
        <w:i/>
        <w:iCs/>
        <w:sz w:val="16"/>
        <w:szCs w:val="16"/>
      </w:rPr>
      <w:t>Aproximaci</w:t>
    </w:r>
    <w:r w:rsidR="00663403">
      <w:rPr>
        <w:i/>
        <w:iCs/>
        <w:sz w:val="16"/>
        <w:szCs w:val="16"/>
      </w:rPr>
      <w:t>ó</w:t>
    </w:r>
    <w:r w:rsidR="00663403">
      <w:rPr>
        <w:i/>
        <w:iCs/>
        <w:sz w:val="16"/>
        <w:szCs w:val="16"/>
      </w:rPr>
      <w:t>n al Juicio por Jurados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DE" w:rsidRDefault="00FD3B86">
    <w:pPr>
      <w:pStyle w:val="Encabezado"/>
      <w:tabs>
        <w:tab w:val="clear" w:pos="8640"/>
        <w:tab w:val="right" w:pos="8478"/>
      </w:tabs>
    </w:pPr>
    <w:r>
      <w:rPr>
        <w:noProof/>
        <w:lang w:val="es-AR"/>
      </w:rPr>
      <w:drawing>
        <wp:inline distT="0" distB="0" distL="0" distR="0">
          <wp:extent cx="2161642" cy="743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ok4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642" cy="743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32"/>
    <w:multiLevelType w:val="multilevel"/>
    <w:tmpl w:val="D3504650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</w:abstractNum>
  <w:abstractNum w:abstractNumId="1" w15:restartNumberingAfterBreak="0">
    <w:nsid w:val="06F210EF"/>
    <w:multiLevelType w:val="multilevel"/>
    <w:tmpl w:val="91D40B1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2" w15:restartNumberingAfterBreak="0">
    <w:nsid w:val="0A855275"/>
    <w:multiLevelType w:val="multilevel"/>
    <w:tmpl w:val="39C822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F7F227D"/>
    <w:multiLevelType w:val="multilevel"/>
    <w:tmpl w:val="9FA4D312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4" w15:restartNumberingAfterBreak="0">
    <w:nsid w:val="10F0792A"/>
    <w:multiLevelType w:val="hybridMultilevel"/>
    <w:tmpl w:val="B4E2B3C2"/>
    <w:lvl w:ilvl="0" w:tplc="D062F858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1ABB3A83"/>
    <w:multiLevelType w:val="multilevel"/>
    <w:tmpl w:val="E5C8AD4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6" w15:restartNumberingAfterBreak="0">
    <w:nsid w:val="1F5D7A90"/>
    <w:multiLevelType w:val="multilevel"/>
    <w:tmpl w:val="4CB0660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2A54EEC"/>
    <w:multiLevelType w:val="hybridMultilevel"/>
    <w:tmpl w:val="0BF4E020"/>
    <w:lvl w:ilvl="0" w:tplc="D9204916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EF6E">
      <w:start w:val="1"/>
      <w:numFmt w:val="bullet"/>
      <w:lvlText w:val="o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AB748">
      <w:start w:val="1"/>
      <w:numFmt w:val="bullet"/>
      <w:lvlText w:val="▪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2D98A">
      <w:start w:val="1"/>
      <w:numFmt w:val="bullet"/>
      <w:lvlText w:val="•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774C">
      <w:start w:val="1"/>
      <w:numFmt w:val="bullet"/>
      <w:lvlText w:val="o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0F876">
      <w:start w:val="1"/>
      <w:numFmt w:val="bullet"/>
      <w:lvlText w:val="▪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1304">
      <w:start w:val="1"/>
      <w:numFmt w:val="bullet"/>
      <w:lvlText w:val="•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CBF86">
      <w:start w:val="1"/>
      <w:numFmt w:val="bullet"/>
      <w:lvlText w:val="o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E71EC">
      <w:start w:val="1"/>
      <w:numFmt w:val="bullet"/>
      <w:lvlText w:val="▪"/>
      <w:lvlJc w:val="left"/>
      <w:pPr>
        <w:ind w:left="6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FE6233"/>
    <w:multiLevelType w:val="multilevel"/>
    <w:tmpl w:val="1890AA56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rtl w:val="0"/>
        <w:lang w:val="es-ES_tradnl"/>
      </w:rPr>
    </w:lvl>
  </w:abstractNum>
  <w:abstractNum w:abstractNumId="9" w15:restartNumberingAfterBreak="0">
    <w:nsid w:val="336B59DA"/>
    <w:multiLevelType w:val="multilevel"/>
    <w:tmpl w:val="73D6785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6A21479"/>
    <w:multiLevelType w:val="multilevel"/>
    <w:tmpl w:val="476EB386"/>
    <w:styleLink w:val="Lista3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000000"/>
        <w:position w:val="0"/>
        <w:u w:color="000000"/>
        <w:rtl w:val="0"/>
      </w:rPr>
    </w:lvl>
  </w:abstractNum>
  <w:abstractNum w:abstractNumId="11" w15:restartNumberingAfterBreak="0">
    <w:nsid w:val="396D53F6"/>
    <w:multiLevelType w:val="multilevel"/>
    <w:tmpl w:val="A8FA2D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3DC43FAE"/>
    <w:multiLevelType w:val="multilevel"/>
    <w:tmpl w:val="5F3847FC"/>
    <w:styleLink w:val="Lista21"/>
    <w:lvl w:ilvl="0">
      <w:start w:val="1"/>
      <w:numFmt w:val="lowerLetter"/>
      <w:lvlText w:val="%1)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</w:abstractNum>
  <w:abstractNum w:abstractNumId="13" w15:restartNumberingAfterBreak="0">
    <w:nsid w:val="3EAD3D09"/>
    <w:multiLevelType w:val="hybridMultilevel"/>
    <w:tmpl w:val="1FD0C518"/>
    <w:lvl w:ilvl="0" w:tplc="17C06682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4AC1"/>
    <w:multiLevelType w:val="hybridMultilevel"/>
    <w:tmpl w:val="EB14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74411"/>
    <w:multiLevelType w:val="multilevel"/>
    <w:tmpl w:val="FD1CD1FE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585448A8"/>
    <w:multiLevelType w:val="hybridMultilevel"/>
    <w:tmpl w:val="987AEBB0"/>
    <w:lvl w:ilvl="0" w:tplc="2B64084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27C50"/>
    <w:multiLevelType w:val="multilevel"/>
    <w:tmpl w:val="CC2A1F84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F474EF6"/>
    <w:multiLevelType w:val="hybridMultilevel"/>
    <w:tmpl w:val="BE2ADBB0"/>
    <w:lvl w:ilvl="0" w:tplc="E0F6C840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FF3"/>
    <w:multiLevelType w:val="multilevel"/>
    <w:tmpl w:val="B748ED86"/>
    <w:lvl w:ilvl="0">
      <w:start w:val="1"/>
      <w:numFmt w:val="lowerLetter"/>
      <w:lvlText w:val="%1)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i/>
        <w:iCs/>
        <w:color w:val="000000"/>
        <w:position w:val="0"/>
        <w:u w:color="000000"/>
        <w:rtl w:val="0"/>
      </w:rPr>
    </w:lvl>
  </w:abstractNum>
  <w:abstractNum w:abstractNumId="20" w15:restartNumberingAfterBreak="0">
    <w:nsid w:val="76E92A78"/>
    <w:multiLevelType w:val="hybridMultilevel"/>
    <w:tmpl w:val="AE905F4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67FA1"/>
    <w:multiLevelType w:val="hybridMultilevel"/>
    <w:tmpl w:val="A994FF9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13"/>
  </w:num>
  <w:num w:numId="16">
    <w:abstractNumId w:val="21"/>
  </w:num>
  <w:num w:numId="17">
    <w:abstractNumId w:val="20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DE"/>
    <w:rsid w:val="00022E23"/>
    <w:rsid w:val="000640B0"/>
    <w:rsid w:val="0007410C"/>
    <w:rsid w:val="0009221F"/>
    <w:rsid w:val="000B6355"/>
    <w:rsid w:val="00124197"/>
    <w:rsid w:val="001476AF"/>
    <w:rsid w:val="00186BE3"/>
    <w:rsid w:val="00252F88"/>
    <w:rsid w:val="002852C8"/>
    <w:rsid w:val="0029080E"/>
    <w:rsid w:val="002B7F2F"/>
    <w:rsid w:val="002E7216"/>
    <w:rsid w:val="00314380"/>
    <w:rsid w:val="00322FEA"/>
    <w:rsid w:val="00354F21"/>
    <w:rsid w:val="0036358A"/>
    <w:rsid w:val="00447072"/>
    <w:rsid w:val="004612E6"/>
    <w:rsid w:val="00493861"/>
    <w:rsid w:val="00495402"/>
    <w:rsid w:val="004F7CFE"/>
    <w:rsid w:val="0052154F"/>
    <w:rsid w:val="005525CC"/>
    <w:rsid w:val="00640F76"/>
    <w:rsid w:val="00644DBB"/>
    <w:rsid w:val="00663403"/>
    <w:rsid w:val="006958E6"/>
    <w:rsid w:val="006F0073"/>
    <w:rsid w:val="00711090"/>
    <w:rsid w:val="00717A8C"/>
    <w:rsid w:val="00736C57"/>
    <w:rsid w:val="00740370"/>
    <w:rsid w:val="00763BAC"/>
    <w:rsid w:val="00803E43"/>
    <w:rsid w:val="00810CAF"/>
    <w:rsid w:val="00887310"/>
    <w:rsid w:val="008979DE"/>
    <w:rsid w:val="008A10ED"/>
    <w:rsid w:val="008B658E"/>
    <w:rsid w:val="008C41C8"/>
    <w:rsid w:val="008E172D"/>
    <w:rsid w:val="00963540"/>
    <w:rsid w:val="00974FE8"/>
    <w:rsid w:val="009877D4"/>
    <w:rsid w:val="009D598C"/>
    <w:rsid w:val="00A01E52"/>
    <w:rsid w:val="00A72F4C"/>
    <w:rsid w:val="00A9568E"/>
    <w:rsid w:val="00AD4BFB"/>
    <w:rsid w:val="00B142E6"/>
    <w:rsid w:val="00B34254"/>
    <w:rsid w:val="00B35CD7"/>
    <w:rsid w:val="00B4057E"/>
    <w:rsid w:val="00B5383A"/>
    <w:rsid w:val="00B96404"/>
    <w:rsid w:val="00C0233F"/>
    <w:rsid w:val="00C1449C"/>
    <w:rsid w:val="00C222D2"/>
    <w:rsid w:val="00C23AF2"/>
    <w:rsid w:val="00C9525D"/>
    <w:rsid w:val="00CE094B"/>
    <w:rsid w:val="00CF502E"/>
    <w:rsid w:val="00D455AF"/>
    <w:rsid w:val="00D54B2F"/>
    <w:rsid w:val="00D75BB7"/>
    <w:rsid w:val="00D90503"/>
    <w:rsid w:val="00DA789E"/>
    <w:rsid w:val="00E22412"/>
    <w:rsid w:val="00E5448A"/>
    <w:rsid w:val="00E73948"/>
    <w:rsid w:val="00ED0C8A"/>
    <w:rsid w:val="00F1047F"/>
    <w:rsid w:val="00F66A7A"/>
    <w:rsid w:val="00FA2785"/>
    <w:rsid w:val="00FD3B86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56A5339-7066-494E-816A-DF58493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 w:eastAsia="en-US"/>
    </w:rPr>
  </w:style>
  <w:style w:type="paragraph" w:styleId="Ttulo1">
    <w:name w:val="heading 1"/>
    <w:next w:val="Normal"/>
    <w:link w:val="Ttulo1Car"/>
    <w:qFormat/>
    <w:pPr>
      <w:keepNext/>
      <w:spacing w:before="240" w:after="60" w:line="360" w:lineRule="auto"/>
      <w:jc w:val="both"/>
      <w:outlineLvl w:val="0"/>
    </w:pPr>
    <w:rPr>
      <w:rFonts w:ascii="Arial Bold" w:eastAsia="Arial Bold" w:hAnsi="Arial Bold" w:cs="Arial Bold"/>
      <w:color w:val="000000"/>
      <w:kern w:val="32"/>
      <w:sz w:val="28"/>
      <w:szCs w:val="28"/>
      <w:u w:color="000000"/>
      <w:lang w:val="es-ES_tradnl"/>
    </w:rPr>
  </w:style>
  <w:style w:type="paragraph" w:styleId="Ttulo2">
    <w:name w:val="heading 2"/>
    <w:next w:val="Normal"/>
    <w:pPr>
      <w:keepNext/>
      <w:spacing w:before="240" w:after="120"/>
      <w:jc w:val="both"/>
      <w:outlineLvl w:val="1"/>
    </w:pPr>
    <w:rPr>
      <w:rFonts w:ascii="Arial Bold" w:hAnsi="Arial Unicode MS" w:cs="Arial Unicode MS"/>
      <w:smallCaps/>
      <w:color w:val="000000"/>
      <w:sz w:val="24"/>
      <w:szCs w:val="24"/>
      <w:u w:color="000000"/>
      <w:lang w:val="es-ES_tradnl"/>
    </w:rPr>
  </w:style>
  <w:style w:type="paragraph" w:styleId="Ttulo3">
    <w:name w:val="heading 3"/>
    <w:next w:val="Normal"/>
    <w:pPr>
      <w:keepNext/>
      <w:spacing w:before="240" w:after="60" w:line="360" w:lineRule="auto"/>
      <w:jc w:val="both"/>
      <w:outlineLvl w:val="2"/>
    </w:pPr>
    <w:rPr>
      <w:rFonts w:ascii="Arial" w:hAnsi="Arial Unicode MS" w:cs="Arial Unicode MS"/>
      <w:i/>
      <w:i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320"/>
        <w:tab w:val="right" w:pos="8640"/>
      </w:tabs>
      <w:spacing w:after="120" w:line="360" w:lineRule="auto"/>
      <w:jc w:val="both"/>
    </w:pPr>
    <w:rPr>
      <w:rFonts w:ascii="Arial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320"/>
        <w:tab w:val="right" w:pos="8640"/>
      </w:tabs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styleId="Nmerodepgina">
    <w:name w:val="page number"/>
  </w:style>
  <w:style w:type="character" w:customStyle="1" w:styleId="Hyperlink0">
    <w:name w:val="Hyperlink.0"/>
    <w:basedOn w:val="Nmerodepgina"/>
    <w:rPr>
      <w:rFonts w:ascii="Arial" w:eastAsia="Arial" w:hAnsi="Arial" w:cs="Arial"/>
      <w:color w:val="333333"/>
      <w:sz w:val="16"/>
      <w:szCs w:val="16"/>
      <w:u w:val="single" w:color="333333"/>
      <w:lang w:val="pt-PT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uesto">
    <w:name w:val="Title"/>
    <w:next w:val="Normal"/>
    <w:pPr>
      <w:spacing w:after="200"/>
      <w:jc w:val="right"/>
    </w:pPr>
    <w:rPr>
      <w:rFonts w:ascii="Calibri" w:eastAsia="Calibri" w:hAnsi="Calibri" w:cs="Calibri"/>
      <w:smallCaps/>
      <w:color w:val="000000"/>
      <w:sz w:val="48"/>
      <w:szCs w:val="48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11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4"/>
      </w:numPr>
    </w:pPr>
  </w:style>
  <w:style w:type="numbering" w:customStyle="1" w:styleId="Estiloimportado4">
    <w:name w:val="Estilo importado 4"/>
  </w:style>
  <w:style w:type="paragraph" w:styleId="Textodeglobo">
    <w:name w:val="Balloon Text"/>
    <w:basedOn w:val="Normal"/>
    <w:link w:val="TextodegloboCar"/>
    <w:uiPriority w:val="99"/>
    <w:semiHidden/>
    <w:unhideWhenUsed/>
    <w:rsid w:val="00F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A7A"/>
    <w:rPr>
      <w:rFonts w:ascii="Tahoma" w:eastAsia="Arial" w:hAnsi="Tahoma" w:cs="Tahoma"/>
      <w:color w:val="000000"/>
      <w:sz w:val="16"/>
      <w:szCs w:val="16"/>
      <w:u w:color="000000"/>
      <w:lang w:val="es-ES_tradnl" w:eastAsia="en-US"/>
    </w:rPr>
  </w:style>
  <w:style w:type="character" w:customStyle="1" w:styleId="Ttulo1Car">
    <w:name w:val="Título 1 Car"/>
    <w:link w:val="Ttulo1"/>
    <w:rsid w:val="00124197"/>
    <w:rPr>
      <w:rFonts w:ascii="Arial Bold" w:eastAsia="Arial Bold" w:hAnsi="Arial Bold" w:cs="Arial Bold"/>
      <w:color w:val="000000"/>
      <w:kern w:val="32"/>
      <w:sz w:val="28"/>
      <w:szCs w:val="28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736C57"/>
    <w:pPr>
      <w:ind w:left="720"/>
      <w:contextualSpacing/>
    </w:pPr>
  </w:style>
  <w:style w:type="paragraph" w:customStyle="1" w:styleId="Cuerpo">
    <w:name w:val="Cuerpo"/>
    <w:rsid w:val="00E5448A"/>
    <w:pPr>
      <w:spacing w:after="12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dosjusticia.org.ar" TargetMode="External"/><Relationship Id="rId1" Type="http://schemas.openxmlformats.org/officeDocument/2006/relationships/hyperlink" Target="mailto:info@unidosjustici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1A60-30DD-4E39-9D69-F332DC5B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M.Flor</dc:creator>
  <cp:lastModifiedBy>PERNAS, Susana Marta</cp:lastModifiedBy>
  <cp:revision>2</cp:revision>
  <cp:lastPrinted>2019-06-28T18:47:00Z</cp:lastPrinted>
  <dcterms:created xsi:type="dcterms:W3CDTF">2019-07-22T17:48:00Z</dcterms:created>
  <dcterms:modified xsi:type="dcterms:W3CDTF">2019-07-22T17:48:00Z</dcterms:modified>
</cp:coreProperties>
</file>